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89" w:rsidRDefault="00097D7E">
      <w:pPr>
        <w:pStyle w:val="Titre10"/>
      </w:pPr>
      <w:r>
        <w:rPr>
          <w:color w:val="00000A"/>
        </w:rPr>
        <w:t>Influence of strong light beams on the nonlinear refraction and absorption coefficients of transparent materials: supplementary material</w:t>
      </w:r>
    </w:p>
    <w:p w:rsidR="00F26C89" w:rsidRDefault="00097D7E">
      <w:pPr>
        <w:pStyle w:val="Authors"/>
      </w:pPr>
      <w:r>
        <w:rPr>
          <w:color w:val="00000A"/>
        </w:rPr>
        <w:t xml:space="preserve">Georges Boudebs </w:t>
      </w:r>
      <w:r>
        <w:rPr>
          <w:color w:val="00000A"/>
          <w:vertAlign w:val="superscript"/>
        </w:rPr>
        <w:t>(</w:t>
      </w:r>
      <w:proofErr w:type="gramStart"/>
      <w:r>
        <w:rPr>
          <w:color w:val="00000A"/>
          <w:vertAlign w:val="superscript"/>
        </w:rPr>
        <w:t>1,*</w:t>
      </w:r>
      <w:proofErr w:type="gramEnd"/>
      <w:r>
        <w:rPr>
          <w:color w:val="00000A"/>
          <w:vertAlign w:val="superscript"/>
        </w:rPr>
        <w:t>)</w:t>
      </w:r>
      <w:r>
        <w:rPr>
          <w:color w:val="00000A"/>
        </w:rPr>
        <w:t xml:space="preserve">, </w:t>
      </w:r>
      <w:proofErr w:type="spellStart"/>
      <w:r>
        <w:rPr>
          <w:color w:val="00000A"/>
        </w:rPr>
        <w:t>Hongzhen</w:t>
      </w:r>
      <w:proofErr w:type="spellEnd"/>
      <w:r>
        <w:rPr>
          <w:color w:val="00000A"/>
        </w:rPr>
        <w:t xml:space="preserve"> Wang </w:t>
      </w:r>
      <w:r>
        <w:rPr>
          <w:color w:val="00000A"/>
          <w:vertAlign w:val="superscript"/>
        </w:rPr>
        <w:t>(1)</w:t>
      </w:r>
      <w:r>
        <w:rPr>
          <w:color w:val="00000A"/>
        </w:rPr>
        <w:t xml:space="preserve">, Christophe </w:t>
      </w:r>
      <w:proofErr w:type="spellStart"/>
      <w:r>
        <w:rPr>
          <w:color w:val="00000A"/>
        </w:rPr>
        <w:t>Cassagne</w:t>
      </w:r>
      <w:proofErr w:type="spellEnd"/>
      <w:r>
        <w:rPr>
          <w:color w:val="00000A"/>
        </w:rPr>
        <w:t xml:space="preserve"> </w:t>
      </w:r>
      <w:r>
        <w:rPr>
          <w:color w:val="00000A"/>
          <w:vertAlign w:val="superscript"/>
        </w:rPr>
        <w:t>(1)</w:t>
      </w:r>
      <w:r>
        <w:rPr>
          <w:color w:val="00000A"/>
        </w:rPr>
        <w:t xml:space="preserve">, Mihaela Chis </w:t>
      </w:r>
      <w:r>
        <w:rPr>
          <w:color w:val="00000A"/>
          <w:vertAlign w:val="superscript"/>
        </w:rPr>
        <w:t>(2)</w:t>
      </w:r>
      <w:r>
        <w:rPr>
          <w:color w:val="00000A"/>
        </w:rPr>
        <w:t>,</w:t>
      </w:r>
    </w:p>
    <w:p w:rsidR="00F26C89" w:rsidRPr="00097D7E" w:rsidRDefault="00097D7E">
      <w:pPr>
        <w:pStyle w:val="Authors"/>
        <w:rPr>
          <w:lang w:val="fr-FR"/>
        </w:rPr>
      </w:pPr>
      <w:r>
        <w:rPr>
          <w:color w:val="00000A"/>
          <w:lang w:val="fr-FR"/>
        </w:rPr>
        <w:t xml:space="preserve">Anderson M. Amaral </w:t>
      </w:r>
      <w:r>
        <w:rPr>
          <w:color w:val="00000A"/>
          <w:vertAlign w:val="superscript"/>
          <w:lang w:val="fr-FR"/>
        </w:rPr>
        <w:t>(3)</w:t>
      </w:r>
      <w:r>
        <w:rPr>
          <w:color w:val="00000A"/>
          <w:lang w:val="fr-FR"/>
        </w:rPr>
        <w:t xml:space="preserve">, Cid B. de </w:t>
      </w:r>
      <w:proofErr w:type="spellStart"/>
      <w:r>
        <w:rPr>
          <w:color w:val="00000A"/>
          <w:lang w:val="fr-FR"/>
        </w:rPr>
        <w:t>Araújo</w:t>
      </w:r>
      <w:proofErr w:type="spellEnd"/>
      <w:r>
        <w:rPr>
          <w:color w:val="00000A"/>
          <w:lang w:val="fr-FR"/>
        </w:rPr>
        <w:t xml:space="preserve"> </w:t>
      </w:r>
      <w:r>
        <w:rPr>
          <w:color w:val="00000A"/>
          <w:vertAlign w:val="superscript"/>
          <w:lang w:val="fr-FR"/>
        </w:rPr>
        <w:t>(3)</w:t>
      </w:r>
    </w:p>
    <w:p w:rsidR="00F26C89" w:rsidRPr="00097D7E" w:rsidRDefault="00097D7E">
      <w:pPr>
        <w:pStyle w:val="Afiliations"/>
        <w:spacing w:before="40" w:after="0"/>
        <w:rPr>
          <w:lang w:val="fr-FR"/>
        </w:rPr>
      </w:pPr>
      <w:r>
        <w:rPr>
          <w:color w:val="00000A"/>
          <w:vertAlign w:val="superscript"/>
          <w:lang w:val="fr-FR"/>
        </w:rPr>
        <w:t>(1)</w:t>
      </w:r>
      <w:r>
        <w:rPr>
          <w:color w:val="00000A"/>
          <w:lang w:val="fr-FR"/>
        </w:rPr>
        <w:t xml:space="preserve"> Laboratoire de Photonique d'Angers, LPHIA, EA 4464, SFR MATRIX, UNIV Angers, 2 Boulevard Lavoisier, 49045, Angers, France</w:t>
      </w:r>
    </w:p>
    <w:p w:rsidR="00F26C89" w:rsidRPr="00097D7E" w:rsidRDefault="00097D7E">
      <w:pPr>
        <w:pStyle w:val="Afiliations"/>
        <w:spacing w:before="40" w:after="0"/>
        <w:rPr>
          <w:lang w:val="fr-FR"/>
        </w:rPr>
      </w:pPr>
      <w:r>
        <w:rPr>
          <w:color w:val="00000A"/>
          <w:vertAlign w:val="superscript"/>
          <w:lang w:val="fr-FR"/>
        </w:rPr>
        <w:t>(2)</w:t>
      </w:r>
      <w:r>
        <w:rPr>
          <w:color w:val="00000A"/>
          <w:lang w:val="fr-FR"/>
        </w:rPr>
        <w:t xml:space="preserve"> ESAIP, 18, rue du 8 mai 1945 - CS 80022 - 49180 St-Barthélemy d'Anjou Cedex, France</w:t>
      </w:r>
    </w:p>
    <w:p w:rsidR="00F26C89" w:rsidRDefault="00097D7E">
      <w:pPr>
        <w:pStyle w:val="Afiliations"/>
        <w:spacing w:before="40" w:after="0"/>
      </w:pPr>
      <w:r>
        <w:rPr>
          <w:color w:val="00000A"/>
          <w:vertAlign w:val="superscript"/>
          <w:lang w:val="pt-BR"/>
        </w:rPr>
        <w:t>(3)</w:t>
      </w:r>
      <w:r>
        <w:rPr>
          <w:color w:val="00000A"/>
          <w:lang w:val="pt-BR"/>
        </w:rPr>
        <w:t xml:space="preserve"> Departamento d</w:t>
      </w:r>
      <w:r>
        <w:rPr>
          <w:color w:val="00000A"/>
          <w:lang w:val="pt-BR"/>
        </w:rPr>
        <w:t>e Física, Universidade Federal de Pernambuco, Recife, PE 50670-901, Brazil</w:t>
      </w:r>
    </w:p>
    <w:p w:rsidR="00F26C89" w:rsidRDefault="00F26C89">
      <w:pPr>
        <w:pStyle w:val="Afiliations"/>
        <w:spacing w:before="40" w:after="0"/>
        <w:rPr>
          <w:color w:val="00000A"/>
          <w:lang w:val="pt-BR"/>
        </w:rPr>
      </w:pPr>
    </w:p>
    <w:p w:rsidR="00F26C89" w:rsidRDefault="00097D7E">
      <w:pPr>
        <w:pStyle w:val="Afiliations"/>
        <w:spacing w:before="40" w:after="0"/>
      </w:pPr>
      <w:r>
        <w:rPr>
          <w:color w:val="00000A"/>
          <w:lang w:val="pt-BR"/>
        </w:rPr>
        <w:t>* Tel: (33) 2.41.73.54.26, Fax: (33) 2.41.73.52.16, e-mail: georges.boudebs@univ-angers.fr</w:t>
      </w:r>
    </w:p>
    <w:p w:rsidR="00F26C89" w:rsidRDefault="00097D7E">
      <w:pPr>
        <w:pStyle w:val="Abstracttitle"/>
      </w:pPr>
      <w:r>
        <w:rPr>
          <w:color w:val="00000A"/>
          <w:szCs w:val="24"/>
        </w:rPr>
        <w:t>ABSTRACT</w:t>
      </w:r>
    </w:p>
    <w:p w:rsidR="00F26C89" w:rsidRDefault="00097D7E">
      <w:pPr>
        <w:pStyle w:val="Texto"/>
        <w:spacing w:line="360" w:lineRule="auto"/>
        <w:ind w:firstLine="0"/>
        <w:rPr>
          <w:color w:val="000000"/>
        </w:rPr>
      </w:pPr>
      <w:r>
        <w:rPr>
          <w:color w:val="00000A"/>
        </w:rPr>
        <w:t xml:space="preserve">In this supplementary material we briefly describe how to adapt the expressions </w:t>
      </w:r>
      <w:r>
        <w:rPr>
          <w:color w:val="00000A"/>
        </w:rPr>
        <w:t>in Amaral et al., J. Opt. Soc. Am. B 35, 2977-2985 (2018), to the situation described in the main manuscript.</w:t>
      </w:r>
    </w:p>
    <w:p w:rsidR="00F26C89" w:rsidRDefault="00097D7E">
      <w:pPr>
        <w:pStyle w:val="Texto"/>
        <w:spacing w:line="360" w:lineRule="auto"/>
        <w:ind w:firstLine="0"/>
        <w:rPr>
          <w:color w:val="000000"/>
        </w:rPr>
      </w:pPr>
      <w:r>
        <w:rPr>
          <w:b/>
          <w:bCs/>
          <w:color w:val="00000A"/>
        </w:rPr>
        <w:t>Keywords</w:t>
      </w:r>
      <w:r>
        <w:rPr>
          <w:color w:val="00000A"/>
        </w:rPr>
        <w:t>: third order nonlinear measurement, Z-scan, stimulated light scattering, CS</w:t>
      </w:r>
      <w:r>
        <w:rPr>
          <w:color w:val="00000A"/>
          <w:vertAlign w:val="subscript"/>
        </w:rPr>
        <w:t xml:space="preserve">2 </w:t>
      </w:r>
    </w:p>
    <w:p w:rsidR="00F26C89" w:rsidRDefault="00097D7E">
      <w:pPr>
        <w:pStyle w:val="Titre1"/>
        <w:rPr>
          <w:color w:val="000000"/>
        </w:rPr>
      </w:pPr>
      <w:bookmarkStart w:id="0" w:name="introduction"/>
      <w:bookmarkEnd w:id="0"/>
      <w:r>
        <w:rPr>
          <w:color w:val="000000"/>
        </w:rPr>
        <w:t>Introduction</w:t>
      </w:r>
    </w:p>
    <w:p w:rsidR="00F26C89" w:rsidRDefault="00097D7E">
      <w:pPr>
        <w:pStyle w:val="FirstParagraph"/>
      </w:pPr>
      <w:r>
        <w:t xml:space="preserve">To convert the expressions in Ref. [1] to the </w:t>
      </w:r>
      <w:r>
        <w:t xml:space="preserve">present manuscript, it is assumed for simplicity that the photon number is proportional to the power and the intensity, such that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cI</m:t>
        </m:r>
      </m:oMath>
      <w:r>
        <w:t xml:space="preserve">. We also define the threshold intensity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>h</m:t>
            </m:r>
          </m:sub>
        </m:sSub>
      </m:oMath>
      <w:r>
        <w:t xml:space="preserve"> for the onset of the spatial energy redistribution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δ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γ</m:t>
                </m:r>
                <m:r>
                  <w:rPr>
                    <w:rFonts w:ascii="Cambria Math" w:hAnsi="Cambria Math"/>
                  </w:rPr>
                  <m:t>'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</m:oMath>
      <w:r>
        <w:t xml:space="preserve"> as the typical intensity scale where the energy transfer between the initial wave and the scattered waves becomes efficient.</w:t>
      </w:r>
    </w:p>
    <w:p w:rsidR="00F26C89" w:rsidRDefault="00097D7E">
      <w:pPr>
        <w:pStyle w:val="Corpsdetexte"/>
      </w:pPr>
      <w:r>
        <w:t xml:space="preserve">We use the simplest model, where only the nonlinear (NL) scattering is relevant. We denote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>
        <w:t xml:space="preserve"> as the intensity of the wave alon</w:t>
      </w:r>
      <w:r>
        <w:t xml:space="preserve">g the initial wave direction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 as that due to the scattered light. According to the WCM they must satisfy</w:t>
      </w:r>
    </w:p>
    <w:p w:rsidR="00F26C89" w:rsidRDefault="00F26C89">
      <w:pPr>
        <w:pStyle w:val="Corpsdetexte"/>
      </w:pPr>
    </w:p>
    <w:p w:rsidR="00F26C89" w:rsidRDefault="00097D7E">
      <w:pPr>
        <w:pStyle w:val="Corpsdetexte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</m:oMath>
      </m:oMathPara>
    </w:p>
    <w:p w:rsidR="00F26C89" w:rsidRDefault="00097D7E">
      <w:pPr>
        <w:pStyle w:val="FirstParagraph"/>
      </w:pPr>
      <w:bookmarkStart w:id="1" w:name="eq:I_l"/>
      <w:bookmarkStart w:id="2" w:name="eq:I_s"/>
      <w:bookmarkEnd w:id="1"/>
      <w:bookmarkEnd w:id="2"/>
      <w:r>
        <w:t xml:space="preserve">  </w:t>
      </w:r>
    </w:p>
    <w:p w:rsidR="00F26C89" w:rsidRDefault="00097D7E">
      <w:pPr>
        <w:pStyle w:val="Corpsdetexte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</m:oMath>
      </m:oMathPara>
    </w:p>
    <w:p w:rsidR="00F26C89" w:rsidRDefault="00F26C89">
      <w:pPr>
        <w:pStyle w:val="FirstParagraph"/>
      </w:pPr>
    </w:p>
    <w:p w:rsidR="00F26C89" w:rsidRDefault="00097D7E">
      <w:pPr>
        <w:pStyle w:val="Corpsdetexte"/>
      </w:pPr>
      <w:r>
        <w:t xml:space="preserve">Only a fraction </w:t>
      </w:r>
      <m:oMath>
        <m:r>
          <w:rPr>
            <w:rFonts w:ascii="Cambria Math" w:hAnsi="Cambria Math"/>
          </w:rPr>
          <m:t>f</m:t>
        </m:r>
      </m:oMath>
      <w:r>
        <w:t xml:space="preserve"> of the scattered light power is detected, such that the intensity of the detected light can be represented 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f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 xml:space="preserve">. </w:t>
      </w:r>
      <m:oMath>
        <m:r>
          <w:rPr>
            <w:rFonts w:ascii="Cambria Math" w:hAnsi="Cambria Math"/>
          </w:rPr>
          <m:t>f</m:t>
        </m:r>
      </m:oMath>
      <w:bookmarkStart w:id="3" w:name="eq:NL_transmittance"/>
      <w:r>
        <w:t xml:space="preserve"> depends on the physics of the energy spatial redistribution due to the NL response and of the experimental detection geometr</w:t>
      </w:r>
      <w:r>
        <w:t>y. Specifically,</w:t>
      </w:r>
      <w:r>
        <w:t xml:space="preserve"> for the NL transmittance experiment in Fig. 4, it can be stated that the detected intensity varies according to </w:t>
      </w:r>
    </w:p>
    <w:p w:rsidR="00F26C89" w:rsidRDefault="00097D7E">
      <w:pPr>
        <w:pStyle w:val="Corpsdetexte"/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=1-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f</m:t>
              </m:r>
            </m:e>
          </m:d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</m:oMath>
      </m:oMathPara>
    </w:p>
    <w:bookmarkEnd w:id="3"/>
    <w:p w:rsidR="00F26C89" w:rsidRDefault="00097D7E">
      <w:pPr>
        <w:pStyle w:val="FirstParagraph"/>
      </w:pPr>
      <w:r>
        <w:t xml:space="preserve">  which is equivalent to the term between square brackets in Eq.</w:t>
      </w:r>
      <w:r>
        <w:t xml:space="preserve"> (15) of Ref. [1].</w:t>
      </w:r>
    </w:p>
    <w:p w:rsidR="00F26C89" w:rsidRDefault="00097D7E">
      <w:pPr>
        <w:pStyle w:val="Corpsdetexte"/>
      </w:pPr>
      <w:r>
        <w:t xml:space="preserve">Meanwhile, Fig. 3 contains the NL transmittance when the sample position </w:t>
      </w:r>
      <m:oMath>
        <m:r>
          <w:rPr>
            <w:rFonts w:ascii="Cambria Math" w:hAnsi="Cambria Math"/>
          </w:rPr>
          <m:t>z</m:t>
        </m:r>
      </m:oMath>
      <w:r>
        <w:t xml:space="preserve"> changes along the propagation axis. The beam used in our experiments was produced by the transmission of light through a circular aperture (object in Fig. 1) who</w:t>
      </w:r>
      <w:r>
        <w:t xml:space="preserve">se radius is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=1,46</m:t>
        </m:r>
      </m:oMath>
      <w:bookmarkStart w:id="4" w:name="eq:I(z)"/>
      <w:r>
        <w:t xml:space="preserve"> mm. Near the focus the beam has a Bessel-like transverse profile, and the NL response can be mainly associated with the intense central lobe. To model the beam intensity,</w:t>
      </w:r>
      <w:r>
        <w:t xml:space="preserve"> we considered that the central lobe beam intensity varies accordi</w:t>
      </w:r>
      <w:r>
        <w:t xml:space="preserve">ng to </w:t>
      </w:r>
    </w:p>
    <w:p w:rsidR="00F26C89" w:rsidRDefault="00097D7E">
      <w:pPr>
        <w:pStyle w:val="Corpsdetexte"/>
      </w:pPr>
      <m:oMathPara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</m:oMath>
      </m:oMathPara>
    </w:p>
    <w:bookmarkEnd w:id="4"/>
    <w:p w:rsidR="00F26C89" w:rsidRDefault="00F26C89">
      <w:pPr>
        <w:pStyle w:val="FirstParagraph"/>
      </w:pPr>
    </w:p>
    <w:p w:rsidR="00F26C89" w:rsidRDefault="00097D7E">
      <w:pPr>
        <w:pStyle w:val="Corpsdetexte"/>
      </w:pPr>
      <w:r>
        <w:t xml:space="preserve">To obtain an estimate of the Rayleigh length of the intense central region, we used that the first ring of zero intensity in the focal plane has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</m:t>
        </m:r>
        <m:r>
          <w:rPr>
            <w:rFonts w:ascii="Cambria Math" w:hAnsi="Cambria Math"/>
          </w:rPr>
          <m:t>μ</m:t>
        </m:r>
      </m:oMath>
      <w:r>
        <w:t xml:space="preserve">m radius. A multimode Gaussian beam whose propagation factor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has a Ray</w:t>
      </w:r>
      <w:r>
        <w:t xml:space="preserve">leigh range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λ</m:t>
                </m:r>
              </m:e>
            </m:d>
          </m:den>
        </m:f>
        <m:r>
          <w:rPr>
            <w:rFonts w:ascii="Cambria Math" w:hAnsi="Cambria Math"/>
          </w:rPr>
          <m:t>=14.8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mm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. For a Gaussian beam with a single spatial mode,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t xml:space="preserve">. From a numerical simulation, we have found that the </w:t>
      </w:r>
      <w:proofErr w:type="gramStart"/>
      <w:r>
        <w:t>on axis</w:t>
      </w:r>
      <w:proofErr w:type="gramEnd"/>
      <w:r>
        <w:t xml:space="preserve"> intensity is divided by 2 after propagation over </w:t>
      </w:r>
      <m:oMath>
        <m:r>
          <w:rPr>
            <w:rFonts w:ascii="Cambria Math" w:hAnsi="Cambria Math"/>
          </w:rPr>
          <m:t>8.7</m:t>
        </m:r>
      </m:oMath>
      <w:r>
        <w:t xml:space="preserve">~mm, which indicates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≈1.7</m:t>
        </m:r>
      </m:oMath>
      <w:r>
        <w:t>. The definitio</w:t>
      </w:r>
      <w:r>
        <w:t>n of an effective Rayleigh length to use in a NL interaction is somewhat problematic for the beam we used. For definiteness and simplicity,</w:t>
      </w:r>
      <w:bookmarkStart w:id="5" w:name="_GoBack"/>
      <w:bookmarkEnd w:id="5"/>
      <w:r>
        <w:t xml:space="preserve"> we approximate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</m:oMath>
      <w:r>
        <w:t xml:space="preserve">, such we effectively used that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=7.4</m:t>
        </m:r>
      </m:oMath>
      <w:r>
        <w:t xml:space="preserve"> mm as a reference value for a qualitative agreement </w:t>
      </w:r>
      <w:r>
        <w:t>between the experimental data and the WCM.</w:t>
      </w:r>
    </w:p>
    <w:p w:rsidR="00F26C89" w:rsidRDefault="00097D7E">
      <w:pPr>
        <w:pStyle w:val="Corpsdetexte"/>
      </w:pPr>
      <w:bookmarkStart w:id="6" w:name="eq:C3"/>
      <w:bookmarkEnd w:id="6"/>
      <w:r>
        <w:t xml:space="preserve">The NL extinction coefficient has a behavior </w:t>
      </w:r>
      <w:proofErr w:type="gramStart"/>
      <w:r>
        <w:t>similar to</w:t>
      </w:r>
      <w:proofErr w:type="gramEnd"/>
      <w:r>
        <w:t xml:space="preserve"> Eq. [16] in Ref. [1], which becomes in the present notation </w:t>
      </w:r>
    </w:p>
    <w:p w:rsidR="00F26C89" w:rsidRDefault="00097D7E">
      <w:pPr>
        <w:pStyle w:val="Corpsdetexte"/>
      </w:pPr>
      <m:oMathPara>
        <m:oMath>
          <m:r>
            <w:rPr>
              <w:rFonts w:ascii="Cambria Math" w:hAnsi="Cambria Math"/>
            </w:rPr>
            <w:lastRenderedPageBreak/>
            <m:t>C</m:t>
          </m:r>
          <m:r>
            <w:rPr>
              <w:rFonts w:ascii="Cambria Math" w:hAnsi="Cambria Math"/>
            </w:rPr>
            <m:t>3=</m:t>
          </m:r>
          <m: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'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</w:rPr>
                <m:t>f</m:t>
              </m:r>
            </m:e>
          </m:d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den>
          </m:f>
          <m:r>
            <w:rPr>
              <w:rFonts w:ascii="Cambria Math" w:hAnsi="Cambria Math"/>
            </w:rPr>
            <m:t>,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</m:oMath>
      </m:oMathPara>
    </w:p>
    <w:p w:rsidR="00F26C89" w:rsidRDefault="00097D7E">
      <w:pPr>
        <w:pStyle w:val="FirstParagraph"/>
      </w:pPr>
      <w:r>
        <w:t xml:space="preserve">  where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'</m:t>
        </m:r>
      </m:oMath>
      <w:r>
        <w:t xml:space="preserve"> indicates the scaling of the loss coefficient. Since the expressions used in Fig. 2(b) depend on the product of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'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</m:oMath>
      <w:r>
        <w:t xml:space="preserve">, it was necessary to obtain </w:t>
      </w:r>
      <m:oMath>
        <m:r>
          <w:rPr>
            <w:rFonts w:ascii="Cambria Math" w:hAnsi="Cambria Math"/>
          </w:rPr>
          <m:t>f</m:t>
        </m:r>
      </m:oMath>
      <w:r>
        <w:t xml:space="preserve"> in Fig. 3(b) and later use Fig. 2(b) to evaluate </w:t>
      </w:r>
      <m:oMath>
        <m:r>
          <w:rPr>
            <w:rFonts w:ascii="Cambria Math" w:hAnsi="Cambria Math"/>
          </w:rPr>
          <m:t>α</m:t>
        </m:r>
        <m:r>
          <w:rPr>
            <w:rFonts w:ascii="Cambria Math" w:hAnsi="Cambria Math"/>
          </w:rPr>
          <m:t>'</m:t>
        </m:r>
      </m:oMath>
      <w:r>
        <w:t>.</w:t>
      </w:r>
    </w:p>
    <w:p w:rsidR="00F26C89" w:rsidRDefault="00097D7E">
      <w:pPr>
        <w:pStyle w:val="Corpsdetexte"/>
      </w:pPr>
      <w:r>
        <w:t>Finally, the data in Fig. 2(a) can be described</w:t>
      </w:r>
      <w:r>
        <w:t xml:space="preserve"> using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s</m:t>
            </m:r>
          </m:sub>
        </m:sSub>
      </m:oMath>
      <w:bookmarkStart w:id="7" w:name="eq:n2"/>
      <w:r>
        <w:t xml:space="preserve"> only (Ref. [1] notation), or in the present paper notation, </w:t>
      </w:r>
    </w:p>
    <w:p w:rsidR="00F26C89" w:rsidRDefault="00097D7E">
      <w:pPr>
        <w:pStyle w:val="Corpsdetexte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2,</m:t>
                  </m:r>
                  <m:r>
                    <w:rPr>
                      <w:rFonts w:ascii="Cambria Math" w:hAnsi="Cambria Math"/>
                    </w:rPr>
                    <m:t>scale</m:t>
                  </m:r>
                </m:sub>
              </m:sSub>
            </m:num>
            <m:den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</m:sub>
                          </m:sSub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δ</m:t>
                              </m:r>
                            </m:sub>
                          </m:sSub>
                        </m:den>
                      </m:f>
                    </m:sup>
                  </m:sSup>
                </m:num>
                <m:den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sup>
                  </m:sSup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sub>
                      </m:sSub>
                    </m:den>
                  </m:f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6</m:t>
              </m:r>
            </m:e>
          </m:d>
        </m:oMath>
      </m:oMathPara>
    </w:p>
    <w:bookmarkEnd w:id="7"/>
    <w:p w:rsidR="00F26C89" w:rsidRDefault="00F26C89">
      <w:pPr>
        <w:pStyle w:val="FirstParagraph"/>
      </w:pPr>
    </w:p>
    <w:p w:rsidR="00F26C89" w:rsidRDefault="00097D7E">
      <w:pPr>
        <w:pStyle w:val="Titre1"/>
        <w:rPr>
          <w:color w:val="000000"/>
        </w:rPr>
      </w:pPr>
      <w:bookmarkStart w:id="8" w:name="references"/>
      <w:bookmarkEnd w:id="8"/>
      <w:r>
        <w:rPr>
          <w:color w:val="000000"/>
        </w:rPr>
        <w:t>References</w:t>
      </w:r>
    </w:p>
    <w:p w:rsidR="00F26C89" w:rsidRDefault="00097D7E">
      <w:pPr>
        <w:pStyle w:val="FirstParagraph"/>
      </w:pPr>
      <w:r>
        <w:t xml:space="preserve">[1] Anderson M. Amaral, Albert S. Reyna, </w:t>
      </w:r>
      <w:proofErr w:type="spellStart"/>
      <w:r>
        <w:t>Edilson</w:t>
      </w:r>
      <w:proofErr w:type="spellEnd"/>
      <w:r>
        <w:t xml:space="preserve"> L. </w:t>
      </w:r>
      <w:proofErr w:type="spellStart"/>
      <w:r>
        <w:t>Falcão</w:t>
      </w:r>
      <w:proofErr w:type="spellEnd"/>
      <w:r>
        <w:t>-Filho,</w:t>
      </w:r>
      <w:r>
        <w:t xml:space="preserve"> and Cid B. de Araújo, “Effective model for nonlinear refraction and extinction coefficients in the presence of stimulated light scattering,” J. Opt. Soc. Am. B 35, 2977-2985 (2018).</w:t>
      </w:r>
    </w:p>
    <w:sectPr w:rsidR="00F26C89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OT97231e80.B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89"/>
    <w:rsid w:val="00097D7E"/>
    <w:rsid w:val="00F2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2710-D483-4721-A0BD-0E4D826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/>
    </w:pPr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gendeCar">
    <w:name w:val="Légende Car"/>
    <w:basedOn w:val="Policepardfaut"/>
    <w:link w:val="Lgende"/>
    <w:qFormat/>
  </w:style>
  <w:style w:type="character" w:customStyle="1" w:styleId="VerbatimChar">
    <w:name w:val="Verbatim Char"/>
    <w:basedOn w:val="LgendeCar"/>
    <w:link w:val="SourceCode"/>
    <w:qFormat/>
    <w:rPr>
      <w:rFonts w:ascii="Consolas" w:hAnsi="Consolas"/>
      <w:sz w:val="22"/>
    </w:rPr>
  </w:style>
  <w:style w:type="character" w:customStyle="1" w:styleId="ncoradanotaderodap">
    <w:name w:val="Âncora da nota de rodapé"/>
    <w:basedOn w:val="LgendeCar"/>
    <w:rPr>
      <w:vertAlign w:val="superscript"/>
    </w:rPr>
  </w:style>
  <w:style w:type="character" w:customStyle="1" w:styleId="LinkdaInternet">
    <w:name w:val="Link da Internet"/>
    <w:basedOn w:val="LgendeC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fontstyle01">
    <w:name w:val="fontstyle01"/>
    <w:basedOn w:val="Policepardfaut"/>
    <w:qFormat/>
    <w:rPr>
      <w:rFonts w:ascii="AdvOT97231e80.B" w:hAnsi="AdvOT97231e80.B"/>
      <w:b w:val="0"/>
      <w:bCs w:val="0"/>
      <w:i w:val="0"/>
      <w:iCs w:val="0"/>
      <w:color w:val="242021"/>
      <w:sz w:val="20"/>
      <w:szCs w:val="20"/>
    </w:rPr>
  </w:style>
  <w:style w:type="paragraph" w:customStyle="1" w:styleId="Ttulo">
    <w:name w:val="Título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qFormat/>
    <w:pPr>
      <w:spacing w:before="180" w:after="18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link w:val="LgendeCar"/>
    <w:qFormat/>
    <w:pPr>
      <w:spacing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Lgende"/>
    <w:qFormat/>
    <w:pPr>
      <w:keepNext/>
    </w:pPr>
  </w:style>
  <w:style w:type="paragraph" w:customStyle="1" w:styleId="ImageCaption">
    <w:name w:val="Image Caption"/>
    <w:basedOn w:val="Lgende"/>
    <w:qFormat/>
  </w:style>
  <w:style w:type="paragraph" w:customStyle="1" w:styleId="Figure">
    <w:name w:val="Figure"/>
    <w:basedOn w:val="Normal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paragraph" w:customStyle="1" w:styleId="Afiliations">
    <w:name w:val="Afiliations"/>
    <w:basedOn w:val="Normal"/>
    <w:qFormat/>
    <w:pPr>
      <w:jc w:val="center"/>
    </w:pPr>
    <w:rPr>
      <w:i/>
      <w:iCs/>
      <w:szCs w:val="20"/>
    </w:rPr>
  </w:style>
  <w:style w:type="paragraph" w:customStyle="1" w:styleId="Titre10">
    <w:name w:val="Titre1"/>
    <w:basedOn w:val="Normal"/>
    <w:qFormat/>
    <w:pPr>
      <w:spacing w:after="240"/>
      <w:jc w:val="center"/>
    </w:pPr>
    <w:rPr>
      <w:b/>
      <w:bCs/>
      <w:sz w:val="32"/>
      <w:szCs w:val="20"/>
    </w:rPr>
  </w:style>
  <w:style w:type="paragraph" w:customStyle="1" w:styleId="Authors">
    <w:name w:val="Authors"/>
    <w:basedOn w:val="Normal"/>
    <w:qFormat/>
    <w:pPr>
      <w:jc w:val="center"/>
    </w:pPr>
    <w:rPr>
      <w:b/>
      <w:bCs/>
      <w:szCs w:val="20"/>
    </w:rPr>
  </w:style>
  <w:style w:type="paragraph" w:customStyle="1" w:styleId="Texto">
    <w:name w:val="Texto"/>
    <w:basedOn w:val="Normal"/>
    <w:qFormat/>
    <w:pPr>
      <w:ind w:firstLine="142"/>
    </w:pPr>
    <w:rPr>
      <w:szCs w:val="20"/>
    </w:rPr>
  </w:style>
  <w:style w:type="paragraph" w:customStyle="1" w:styleId="Abstracttitle">
    <w:name w:val="Abstract (title)"/>
    <w:basedOn w:val="Normal"/>
    <w:qFormat/>
    <w:pPr>
      <w:spacing w:before="120" w:after="0"/>
    </w:pPr>
    <w:rPr>
      <w:b/>
      <w:bCs/>
      <w:szCs w:val="20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Wave-coupled model expressions used to describe \text{CS}_2 experimental data</dc:title>
  <dc:subject/>
  <dc:creator/>
  <dc:description/>
  <cp:lastModifiedBy>Georges Boudebs</cp:lastModifiedBy>
  <cp:revision>2</cp:revision>
  <dcterms:created xsi:type="dcterms:W3CDTF">2019-07-08T14:27:00Z</dcterms:created>
  <dcterms:modified xsi:type="dcterms:W3CDTF">2019-07-11T09:16:00Z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